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30" w:after="30" w:line="390" w:lineRule="atLeast"/>
        <w:jc w:val="center"/>
        <w:rPr>
          <w:rFonts w:ascii="宋体" w:hAnsi="宋体" w:eastAsia="宋体" w:cs="宋体"/>
          <w:color w:val="000000"/>
          <w:kern w:val="0"/>
          <w:sz w:val="20"/>
          <w:szCs w:val="20"/>
        </w:rPr>
      </w:pPr>
      <w:r>
        <w:rPr>
          <w:rFonts w:ascii="宋体" w:hAnsi="宋体" w:eastAsia="宋体" w:cs="宋体"/>
          <w:b/>
          <w:bCs/>
          <w:color w:val="000000"/>
          <w:kern w:val="0"/>
          <w:sz w:val="30"/>
          <w:szCs w:val="30"/>
        </w:rPr>
        <w:t xml:space="preserve"> 高压钢瓶的安全使用</w:t>
      </w:r>
    </w:p>
    <w:p>
      <w:pPr>
        <w:widowControl/>
        <w:spacing w:before="30" w:after="30" w:line="390" w:lineRule="atLeast"/>
        <w:jc w:val="center"/>
        <w:rPr>
          <w:rFonts w:ascii="宋体" w:hAnsi="宋体" w:eastAsia="宋体" w:cs="宋体"/>
          <w:color w:val="000000"/>
          <w:kern w:val="0"/>
          <w:sz w:val="20"/>
          <w:szCs w:val="20"/>
        </w:rPr>
      </w:pPr>
      <w:bookmarkStart w:id="0" w:name="_GoBack"/>
      <w:bookmarkEnd w:id="0"/>
    </w:p>
    <w:p>
      <w:pPr>
        <w:widowControl/>
        <w:spacing w:before="30" w:after="30" w:line="390" w:lineRule="atLeast"/>
        <w:jc w:val="left"/>
        <w:rPr>
          <w:rFonts w:ascii="宋体" w:hAnsi="宋体" w:eastAsia="宋体" w:cs="宋体"/>
          <w:color w:val="000000"/>
          <w:kern w:val="0"/>
          <w:sz w:val="20"/>
          <w:szCs w:val="20"/>
        </w:rPr>
      </w:pPr>
      <w:r>
        <w:rPr>
          <w:rFonts w:hint="eastAsia" w:ascii="宋体" w:hAnsi="宋体" w:eastAsia="宋体" w:cs="宋体"/>
          <w:b/>
          <w:bCs/>
          <w:color w:val="000000"/>
          <w:kern w:val="0"/>
          <w:sz w:val="24"/>
          <w:szCs w:val="24"/>
        </w:rPr>
        <w:t>1、</w:t>
      </w:r>
      <w:r>
        <w:rPr>
          <w:rFonts w:ascii="宋体" w:hAnsi="宋体" w:eastAsia="宋体" w:cs="宋体"/>
          <w:b/>
          <w:bCs/>
          <w:color w:val="000000"/>
          <w:kern w:val="0"/>
          <w:sz w:val="24"/>
          <w:szCs w:val="24"/>
        </w:rPr>
        <w:t>高压钢瓶规格及识别</w:t>
      </w:r>
    </w:p>
    <w:p>
      <w:pPr>
        <w:widowControl/>
        <w:spacing w:before="30" w:after="30" w:line="390" w:lineRule="atLeast"/>
        <w:jc w:val="left"/>
        <w:rPr>
          <w:rFonts w:ascii="宋体" w:hAnsi="宋体" w:eastAsia="宋体" w:cs="宋体"/>
          <w:color w:val="000000"/>
          <w:kern w:val="0"/>
          <w:sz w:val="20"/>
          <w:szCs w:val="20"/>
        </w:rPr>
      </w:pPr>
      <w:r>
        <w:rPr>
          <w:rFonts w:ascii="宋体" w:hAnsi="宋体" w:eastAsia="宋体" w:cs="宋体"/>
          <w:color w:val="000000"/>
          <w:kern w:val="0"/>
          <w:sz w:val="24"/>
          <w:szCs w:val="24"/>
        </w:rPr>
        <w:t>（1）高压钢瓶型号、规格(按工作压力分类)如下：</w:t>
      </w:r>
    </w:p>
    <w:tbl>
      <w:tblPr>
        <w:tblStyle w:val="7"/>
        <w:tblW w:w="73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187"/>
        <w:gridCol w:w="1811"/>
        <w:gridCol w:w="1609"/>
        <w:gridCol w:w="1236"/>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159" w:hRule="atLeast"/>
          <w:jc w:val="center"/>
        </w:trPr>
        <w:tc>
          <w:tcPr>
            <w:tcW w:w="118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159" w:lineRule="atLeast"/>
              <w:jc w:val="center"/>
              <w:rPr>
                <w:rFonts w:ascii="宋体" w:hAnsi="宋体" w:eastAsia="宋体" w:cs="宋体"/>
                <w:kern w:val="0"/>
                <w:sz w:val="20"/>
                <w:szCs w:val="20"/>
              </w:rPr>
            </w:pPr>
            <w:r>
              <w:rPr>
                <w:rFonts w:ascii="宋体" w:hAnsi="宋体" w:eastAsia="宋体" w:cs="宋体"/>
                <w:kern w:val="0"/>
                <w:sz w:val="24"/>
                <w:szCs w:val="24"/>
              </w:rPr>
              <w:t>钢瓶型号</w:t>
            </w:r>
          </w:p>
        </w:tc>
        <w:tc>
          <w:tcPr>
            <w:tcW w:w="181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159" w:lineRule="atLeast"/>
              <w:jc w:val="center"/>
              <w:rPr>
                <w:rFonts w:ascii="宋体" w:hAnsi="宋体" w:eastAsia="宋体" w:cs="宋体"/>
                <w:kern w:val="0"/>
                <w:sz w:val="20"/>
                <w:szCs w:val="20"/>
              </w:rPr>
            </w:pPr>
            <w:r>
              <w:rPr>
                <w:rFonts w:ascii="宋体" w:hAnsi="宋体" w:eastAsia="宋体" w:cs="宋体"/>
                <w:kern w:val="0"/>
                <w:sz w:val="24"/>
                <w:szCs w:val="24"/>
              </w:rPr>
              <w:t>用途</w:t>
            </w:r>
          </w:p>
        </w:tc>
        <w:tc>
          <w:tcPr>
            <w:tcW w:w="160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159" w:lineRule="atLeast"/>
              <w:jc w:val="center"/>
              <w:rPr>
                <w:rFonts w:ascii="宋体" w:hAnsi="宋体" w:eastAsia="宋体" w:cs="宋体"/>
                <w:kern w:val="0"/>
                <w:sz w:val="20"/>
                <w:szCs w:val="20"/>
              </w:rPr>
            </w:pPr>
            <w:r>
              <w:rPr>
                <w:rFonts w:ascii="宋体" w:hAnsi="宋体" w:eastAsia="宋体" w:cs="宋体"/>
                <w:kern w:val="0"/>
                <w:sz w:val="21"/>
                <w:szCs w:val="21"/>
              </w:rPr>
              <w:t>工作压力／Pa</w:t>
            </w:r>
          </w:p>
        </w:tc>
        <w:tc>
          <w:tcPr>
            <w:tcW w:w="2722" w:type="dxa"/>
            <w:gridSpan w:val="2"/>
            <w:tcBorders>
              <w:top w:val="single" w:color="auto" w:sz="8" w:space="0"/>
              <w:left w:val="nil"/>
              <w:bottom w:val="single" w:color="auto" w:sz="8" w:space="0"/>
              <w:right w:val="nil"/>
            </w:tcBorders>
            <w:tcMar>
              <w:top w:w="0" w:type="dxa"/>
              <w:left w:w="108" w:type="dxa"/>
              <w:bottom w:w="0" w:type="dxa"/>
              <w:right w:w="108" w:type="dxa"/>
            </w:tcMar>
            <w:vAlign w:val="center"/>
          </w:tcPr>
          <w:p>
            <w:pPr>
              <w:widowControl/>
              <w:spacing w:before="30" w:after="30" w:line="159" w:lineRule="atLeast"/>
              <w:ind w:firstLine="720"/>
              <w:jc w:val="center"/>
              <w:rPr>
                <w:rFonts w:ascii="宋体" w:hAnsi="宋体" w:eastAsia="宋体" w:cs="宋体"/>
                <w:kern w:val="0"/>
                <w:sz w:val="20"/>
                <w:szCs w:val="20"/>
              </w:rPr>
            </w:pPr>
            <w:r>
              <w:rPr>
                <w:rFonts w:ascii="宋体" w:hAnsi="宋体" w:eastAsia="宋体" w:cs="宋体"/>
                <w:kern w:val="0"/>
                <w:sz w:val="24"/>
                <w:szCs w:val="24"/>
              </w:rPr>
              <w:t>试验压力／Pa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158" w:hRule="atLeast"/>
          <w:jc w:val="center"/>
        </w:trPr>
        <w:tc>
          <w:tcPr>
            <w:tcW w:w="1187"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181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160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12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158" w:lineRule="atLeast"/>
              <w:jc w:val="center"/>
              <w:rPr>
                <w:rFonts w:ascii="宋体" w:hAnsi="宋体" w:eastAsia="宋体" w:cs="宋体"/>
                <w:kern w:val="0"/>
                <w:sz w:val="20"/>
                <w:szCs w:val="20"/>
              </w:rPr>
            </w:pPr>
            <w:r>
              <w:rPr>
                <w:rFonts w:ascii="宋体" w:hAnsi="宋体" w:eastAsia="宋体" w:cs="宋体"/>
                <w:kern w:val="0"/>
                <w:sz w:val="24"/>
                <w:szCs w:val="24"/>
              </w:rPr>
              <w:t>水压试验</w:t>
            </w:r>
          </w:p>
        </w:tc>
        <w:tc>
          <w:tcPr>
            <w:tcW w:w="1486" w:type="dxa"/>
            <w:tcBorders>
              <w:top w:val="nil"/>
              <w:left w:val="nil"/>
              <w:bottom w:val="single" w:color="auto" w:sz="8" w:space="0"/>
              <w:right w:val="nil"/>
            </w:tcBorders>
            <w:tcMar>
              <w:top w:w="0" w:type="dxa"/>
              <w:left w:w="108" w:type="dxa"/>
              <w:bottom w:w="0" w:type="dxa"/>
              <w:right w:w="108" w:type="dxa"/>
            </w:tcMar>
            <w:vAlign w:val="center"/>
          </w:tcPr>
          <w:p>
            <w:pPr>
              <w:widowControl/>
              <w:spacing w:before="30" w:after="30" w:line="158" w:lineRule="atLeast"/>
              <w:jc w:val="center"/>
              <w:rPr>
                <w:rFonts w:ascii="宋体" w:hAnsi="宋体" w:eastAsia="宋体" w:cs="宋体"/>
                <w:kern w:val="0"/>
                <w:sz w:val="20"/>
                <w:szCs w:val="20"/>
              </w:rPr>
            </w:pPr>
            <w:r>
              <w:rPr>
                <w:rFonts w:ascii="宋体" w:hAnsi="宋体" w:eastAsia="宋体" w:cs="宋体"/>
                <w:kern w:val="0"/>
                <w:sz w:val="24"/>
                <w:szCs w:val="24"/>
              </w:rPr>
              <w:t>气压试验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11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150</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left"/>
              <w:rPr>
                <w:rFonts w:ascii="宋体" w:hAnsi="宋体" w:eastAsia="宋体" w:cs="宋体"/>
                <w:kern w:val="0"/>
                <w:sz w:val="20"/>
                <w:szCs w:val="20"/>
              </w:rPr>
            </w:pPr>
            <w:r>
              <w:rPr>
                <w:rFonts w:ascii="宋体" w:hAnsi="宋体" w:eastAsia="宋体" w:cs="宋体"/>
                <w:kern w:val="0"/>
                <w:sz w:val="24"/>
                <w:szCs w:val="24"/>
              </w:rPr>
              <w:t>装O</w:t>
            </w:r>
            <w:r>
              <w:rPr>
                <w:rFonts w:ascii="宋体" w:hAnsi="宋体" w:eastAsia="宋体" w:cs="宋体"/>
                <w:kern w:val="0"/>
                <w:sz w:val="24"/>
                <w:szCs w:val="24"/>
                <w:vertAlign w:val="subscript"/>
              </w:rPr>
              <w:t>2</w:t>
            </w:r>
            <w:r>
              <w:rPr>
                <w:rFonts w:ascii="宋体" w:hAnsi="宋体" w:eastAsia="宋体" w:cs="宋体"/>
                <w:kern w:val="0"/>
                <w:sz w:val="24"/>
                <w:szCs w:val="24"/>
              </w:rPr>
              <w:t>、H</w:t>
            </w:r>
            <w:r>
              <w:rPr>
                <w:rFonts w:ascii="宋体" w:hAnsi="宋体" w:eastAsia="宋体" w:cs="宋体"/>
                <w:kern w:val="0"/>
                <w:sz w:val="24"/>
                <w:szCs w:val="24"/>
                <w:vertAlign w:val="subscript"/>
              </w:rPr>
              <w:t>2</w:t>
            </w:r>
            <w:r>
              <w:rPr>
                <w:rFonts w:ascii="宋体" w:hAnsi="宋体" w:eastAsia="宋体" w:cs="宋体"/>
                <w:kern w:val="0"/>
                <w:sz w:val="24"/>
                <w:szCs w:val="24"/>
              </w:rPr>
              <w:t>、N</w:t>
            </w:r>
            <w:r>
              <w:rPr>
                <w:rFonts w:ascii="宋体" w:hAnsi="宋体" w:eastAsia="宋体" w:cs="宋体"/>
                <w:kern w:val="0"/>
                <w:sz w:val="24"/>
                <w:szCs w:val="24"/>
                <w:vertAlign w:val="subscript"/>
              </w:rPr>
              <w:t>2</w:t>
            </w:r>
            <w:r>
              <w:rPr>
                <w:rFonts w:ascii="宋体" w:hAnsi="宋体" w:eastAsia="宋体" w:cs="宋体"/>
                <w:kern w:val="0"/>
                <w:sz w:val="24"/>
                <w:szCs w:val="24"/>
              </w:rPr>
              <w:t>、CH</w:t>
            </w:r>
            <w:r>
              <w:rPr>
                <w:rFonts w:ascii="宋体" w:hAnsi="宋体" w:eastAsia="宋体" w:cs="宋体"/>
                <w:kern w:val="0"/>
                <w:sz w:val="24"/>
                <w:szCs w:val="24"/>
                <w:vertAlign w:val="subscript"/>
              </w:rPr>
              <w:t>4</w:t>
            </w:r>
            <w:r>
              <w:rPr>
                <w:rFonts w:ascii="宋体" w:hAnsi="宋体" w:eastAsia="宋体" w:cs="宋体"/>
                <w:kern w:val="0"/>
                <w:sz w:val="24"/>
                <w:szCs w:val="24"/>
              </w:rPr>
              <w:t>、压缩空气及惰性气体等</w:t>
            </w:r>
          </w:p>
        </w:tc>
        <w:tc>
          <w:tcPr>
            <w:tcW w:w="1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1.47×10</w:t>
            </w:r>
            <w:r>
              <w:rPr>
                <w:rFonts w:ascii="宋体" w:hAnsi="宋体" w:eastAsia="宋体" w:cs="宋体"/>
                <w:kern w:val="0"/>
                <w:sz w:val="24"/>
                <w:szCs w:val="24"/>
                <w:vertAlign w:val="superscript"/>
              </w:rPr>
              <w:t>7</w:t>
            </w:r>
          </w:p>
        </w:tc>
        <w:tc>
          <w:tcPr>
            <w:tcW w:w="12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2.21×10</w:t>
            </w:r>
            <w:r>
              <w:rPr>
                <w:rFonts w:ascii="宋体" w:hAnsi="宋体" w:eastAsia="宋体" w:cs="宋体"/>
                <w:kern w:val="0"/>
                <w:sz w:val="24"/>
                <w:szCs w:val="24"/>
                <w:vertAlign w:val="superscript"/>
              </w:rPr>
              <w:t>7</w:t>
            </w:r>
          </w:p>
        </w:tc>
        <w:tc>
          <w:tcPr>
            <w:tcW w:w="1486" w:type="dxa"/>
            <w:tcBorders>
              <w:top w:val="nil"/>
              <w:left w:val="nil"/>
              <w:bottom w:val="single" w:color="auto" w:sz="8" w:space="0"/>
              <w:right w:val="nil"/>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1.47×10</w:t>
            </w:r>
            <w:r>
              <w:rPr>
                <w:rFonts w:ascii="宋体" w:hAnsi="宋体" w:eastAsia="宋体" w:cs="宋体"/>
                <w:kern w:val="0"/>
                <w:sz w:val="24"/>
                <w:szCs w:val="24"/>
                <w:vertAlign w:val="superscrip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11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125</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装CO</w:t>
            </w:r>
            <w:r>
              <w:rPr>
                <w:rFonts w:ascii="宋体" w:hAnsi="宋体" w:eastAsia="宋体" w:cs="宋体"/>
                <w:kern w:val="0"/>
                <w:sz w:val="24"/>
                <w:szCs w:val="24"/>
                <w:vertAlign w:val="subscript"/>
              </w:rPr>
              <w:t>2</w:t>
            </w:r>
            <w:r>
              <w:rPr>
                <w:rFonts w:ascii="宋体" w:hAnsi="宋体" w:eastAsia="宋体" w:cs="宋体"/>
                <w:kern w:val="0"/>
                <w:sz w:val="24"/>
                <w:szCs w:val="24"/>
              </w:rPr>
              <w:t>等</w:t>
            </w:r>
          </w:p>
        </w:tc>
        <w:tc>
          <w:tcPr>
            <w:tcW w:w="1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1.18×10</w:t>
            </w:r>
            <w:r>
              <w:rPr>
                <w:rFonts w:ascii="宋体" w:hAnsi="宋体" w:eastAsia="宋体" w:cs="宋体"/>
                <w:kern w:val="0"/>
                <w:sz w:val="24"/>
                <w:szCs w:val="24"/>
                <w:vertAlign w:val="superscript"/>
              </w:rPr>
              <w:t>7</w:t>
            </w:r>
          </w:p>
        </w:tc>
        <w:tc>
          <w:tcPr>
            <w:tcW w:w="12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1.86×10</w:t>
            </w:r>
            <w:r>
              <w:rPr>
                <w:rFonts w:ascii="宋体" w:hAnsi="宋体" w:eastAsia="宋体" w:cs="宋体"/>
                <w:kern w:val="0"/>
                <w:sz w:val="24"/>
                <w:szCs w:val="24"/>
                <w:vertAlign w:val="superscript"/>
              </w:rPr>
              <w:t>7</w:t>
            </w:r>
          </w:p>
        </w:tc>
        <w:tc>
          <w:tcPr>
            <w:tcW w:w="1486" w:type="dxa"/>
            <w:tcBorders>
              <w:top w:val="nil"/>
              <w:left w:val="nil"/>
              <w:bottom w:val="single" w:color="auto" w:sz="8" w:space="0"/>
              <w:right w:val="nil"/>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1.18×10</w:t>
            </w:r>
            <w:r>
              <w:rPr>
                <w:rFonts w:ascii="宋体" w:hAnsi="宋体" w:eastAsia="宋体" w:cs="宋体"/>
                <w:kern w:val="0"/>
                <w:sz w:val="24"/>
                <w:szCs w:val="24"/>
                <w:vertAlign w:val="superscrip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11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30</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装NH</w:t>
            </w:r>
            <w:r>
              <w:rPr>
                <w:rFonts w:ascii="宋体" w:hAnsi="宋体" w:eastAsia="宋体" w:cs="宋体"/>
                <w:kern w:val="0"/>
                <w:sz w:val="24"/>
                <w:szCs w:val="24"/>
                <w:vertAlign w:val="subscript"/>
              </w:rPr>
              <w:t>3</w:t>
            </w:r>
            <w:r>
              <w:rPr>
                <w:rFonts w:ascii="宋体" w:hAnsi="宋体" w:eastAsia="宋体" w:cs="宋体"/>
                <w:kern w:val="0"/>
                <w:sz w:val="24"/>
                <w:szCs w:val="24"/>
              </w:rPr>
              <w:t>、Cl</w:t>
            </w:r>
            <w:r>
              <w:rPr>
                <w:rFonts w:ascii="宋体" w:hAnsi="宋体" w:eastAsia="宋体" w:cs="宋体"/>
                <w:kern w:val="0"/>
                <w:sz w:val="24"/>
                <w:szCs w:val="24"/>
                <w:vertAlign w:val="subscript"/>
              </w:rPr>
              <w:t>2</w:t>
            </w:r>
            <w:r>
              <w:rPr>
                <w:rFonts w:ascii="宋体" w:hAnsi="宋体" w:eastAsia="宋体" w:cs="宋体"/>
                <w:kern w:val="0"/>
                <w:sz w:val="24"/>
                <w:szCs w:val="24"/>
              </w:rPr>
              <w:t>、光气、异丁烷等</w:t>
            </w:r>
          </w:p>
        </w:tc>
        <w:tc>
          <w:tcPr>
            <w:tcW w:w="1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2.94×10</w:t>
            </w:r>
            <w:r>
              <w:rPr>
                <w:rFonts w:ascii="宋体" w:hAnsi="宋体" w:eastAsia="宋体" w:cs="宋体"/>
                <w:kern w:val="0"/>
                <w:sz w:val="24"/>
                <w:szCs w:val="24"/>
                <w:vertAlign w:val="superscript"/>
              </w:rPr>
              <w:t>6</w:t>
            </w:r>
          </w:p>
        </w:tc>
        <w:tc>
          <w:tcPr>
            <w:tcW w:w="12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5.88×10</w:t>
            </w:r>
            <w:r>
              <w:rPr>
                <w:rFonts w:ascii="宋体" w:hAnsi="宋体" w:eastAsia="宋体" w:cs="宋体"/>
                <w:kern w:val="0"/>
                <w:sz w:val="24"/>
                <w:szCs w:val="24"/>
                <w:vertAlign w:val="superscript"/>
              </w:rPr>
              <w:t>6</w:t>
            </w:r>
          </w:p>
        </w:tc>
        <w:tc>
          <w:tcPr>
            <w:tcW w:w="1486" w:type="dxa"/>
            <w:tcBorders>
              <w:top w:val="nil"/>
              <w:left w:val="nil"/>
              <w:bottom w:val="single" w:color="auto" w:sz="8" w:space="0"/>
              <w:right w:val="nil"/>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2.94×10</w:t>
            </w:r>
            <w:r>
              <w:rPr>
                <w:rFonts w:ascii="宋体" w:hAnsi="宋体" w:eastAsia="宋体" w:cs="宋体"/>
                <w:kern w:val="0"/>
                <w:sz w:val="24"/>
                <w:szCs w:val="24"/>
                <w:vertAlign w:val="superscript"/>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11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6</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装SO</w:t>
            </w:r>
            <w:r>
              <w:rPr>
                <w:rFonts w:ascii="宋体" w:hAnsi="宋体" w:eastAsia="宋体" w:cs="宋体"/>
                <w:kern w:val="0"/>
                <w:sz w:val="24"/>
                <w:szCs w:val="24"/>
                <w:vertAlign w:val="subscript"/>
              </w:rPr>
              <w:t>2</w:t>
            </w:r>
            <w:r>
              <w:rPr>
                <w:rFonts w:ascii="宋体" w:hAnsi="宋体" w:eastAsia="宋体" w:cs="宋体"/>
                <w:kern w:val="0"/>
                <w:sz w:val="24"/>
                <w:szCs w:val="24"/>
              </w:rPr>
              <w:t>等</w:t>
            </w:r>
          </w:p>
        </w:tc>
        <w:tc>
          <w:tcPr>
            <w:tcW w:w="1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5.88×10</w:t>
            </w:r>
            <w:r>
              <w:rPr>
                <w:rFonts w:ascii="宋体" w:hAnsi="宋体" w:eastAsia="宋体" w:cs="宋体"/>
                <w:kern w:val="0"/>
                <w:sz w:val="24"/>
                <w:szCs w:val="24"/>
                <w:vertAlign w:val="superscript"/>
              </w:rPr>
              <w:t>5</w:t>
            </w:r>
          </w:p>
        </w:tc>
        <w:tc>
          <w:tcPr>
            <w:tcW w:w="12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1.18×10</w:t>
            </w:r>
            <w:r>
              <w:rPr>
                <w:rFonts w:ascii="宋体" w:hAnsi="宋体" w:eastAsia="宋体" w:cs="宋体"/>
                <w:kern w:val="0"/>
                <w:sz w:val="24"/>
                <w:szCs w:val="24"/>
                <w:vertAlign w:val="superscript"/>
              </w:rPr>
              <w:t>6</w:t>
            </w:r>
          </w:p>
        </w:tc>
        <w:tc>
          <w:tcPr>
            <w:tcW w:w="1486" w:type="dxa"/>
            <w:tcBorders>
              <w:top w:val="nil"/>
              <w:left w:val="nil"/>
              <w:bottom w:val="single" w:color="auto" w:sz="8" w:space="0"/>
              <w:right w:val="nil"/>
            </w:tcBorders>
            <w:tcMar>
              <w:top w:w="0" w:type="dxa"/>
              <w:left w:w="108" w:type="dxa"/>
              <w:bottom w:w="0" w:type="dxa"/>
              <w:right w:w="108" w:type="dxa"/>
            </w:tcMar>
            <w:vAlign w:val="center"/>
          </w:tcPr>
          <w:p>
            <w:pPr>
              <w:widowControl/>
              <w:spacing w:before="30" w:after="30" w:line="390" w:lineRule="atLeast"/>
              <w:jc w:val="center"/>
              <w:rPr>
                <w:rFonts w:ascii="宋体" w:hAnsi="宋体" w:eastAsia="宋体" w:cs="宋体"/>
                <w:kern w:val="0"/>
                <w:sz w:val="20"/>
                <w:szCs w:val="20"/>
              </w:rPr>
            </w:pPr>
            <w:r>
              <w:rPr>
                <w:rFonts w:ascii="宋体" w:hAnsi="宋体" w:eastAsia="宋体" w:cs="宋体"/>
                <w:kern w:val="0"/>
                <w:sz w:val="24"/>
                <w:szCs w:val="24"/>
              </w:rPr>
              <w:t>5.88×10</w:t>
            </w:r>
            <w:r>
              <w:rPr>
                <w:rFonts w:ascii="宋体" w:hAnsi="宋体" w:eastAsia="宋体" w:cs="宋体"/>
                <w:kern w:val="0"/>
                <w:sz w:val="24"/>
                <w:szCs w:val="24"/>
                <w:vertAlign w:val="superscript"/>
              </w:rPr>
              <w:t>5</w:t>
            </w:r>
          </w:p>
        </w:tc>
      </w:tr>
    </w:tbl>
    <w:p>
      <w:pPr>
        <w:widowControl/>
        <w:spacing w:before="30" w:after="30" w:line="390" w:lineRule="atLeast"/>
        <w:jc w:val="left"/>
        <w:rPr>
          <w:rFonts w:ascii="宋体" w:hAnsi="宋体" w:eastAsia="宋体" w:cs="宋体"/>
          <w:color w:val="000000"/>
          <w:kern w:val="0"/>
          <w:sz w:val="24"/>
          <w:szCs w:val="24"/>
        </w:rPr>
      </w:pPr>
    </w:p>
    <w:p>
      <w:pPr>
        <w:widowControl/>
        <w:spacing w:before="30" w:after="30" w:line="390" w:lineRule="atLeast"/>
        <w:jc w:val="left"/>
        <w:rPr>
          <w:rFonts w:ascii="宋体" w:hAnsi="宋体" w:eastAsia="宋体" w:cs="宋体"/>
          <w:color w:val="000000"/>
          <w:kern w:val="0"/>
          <w:sz w:val="20"/>
          <w:szCs w:val="20"/>
        </w:rPr>
      </w:pPr>
      <w:r>
        <w:rPr>
          <w:rFonts w:ascii="宋体" w:hAnsi="宋体" w:eastAsia="宋体" w:cs="宋体"/>
          <w:color w:val="000000"/>
          <w:kern w:val="0"/>
          <w:sz w:val="24"/>
          <w:szCs w:val="24"/>
        </w:rPr>
        <w:t>(</w:t>
      </w:r>
      <w:r>
        <w:rPr>
          <w:rFonts w:hint="eastAsia" w:ascii="宋体" w:hAnsi="宋体" w:cs="宋体"/>
          <w:color w:val="000000"/>
          <w:kern w:val="0"/>
          <w:sz w:val="24"/>
          <w:szCs w:val="24"/>
          <w:lang w:val="en-US" w:eastAsia="zh-CN"/>
        </w:rPr>
        <w:t>2</w:t>
      </w:r>
      <w:r>
        <w:rPr>
          <w:rFonts w:ascii="宋体" w:hAnsi="宋体" w:eastAsia="宋体" w:cs="宋体"/>
          <w:color w:val="000000"/>
          <w:kern w:val="0"/>
          <w:sz w:val="24"/>
          <w:szCs w:val="24"/>
        </w:rPr>
        <w:t>)高压钢瓶颜色标志:</w:t>
      </w:r>
    </w:p>
    <w:p>
      <w:pPr>
        <w:widowControl/>
        <w:spacing w:before="30" w:after="30" w:line="390" w:lineRule="atLeast"/>
        <w:ind w:left="555"/>
        <w:jc w:val="left"/>
        <w:rPr>
          <w:rFonts w:ascii="宋体" w:hAnsi="宋体" w:eastAsia="宋体" w:cs="宋体"/>
          <w:color w:val="000000"/>
          <w:kern w:val="0"/>
          <w:sz w:val="20"/>
          <w:szCs w:val="20"/>
        </w:rPr>
      </w:pPr>
      <w:r>
        <w:rPr>
          <w:rFonts w:ascii="宋体" w:hAnsi="宋体" w:eastAsia="宋体" w:cs="宋体"/>
          <w:color w:val="000000"/>
          <w:kern w:val="0"/>
          <w:sz w:val="24"/>
          <w:szCs w:val="24"/>
        </w:rPr>
        <w:t>我国气体钢瓶常用的标记见下表</w:t>
      </w:r>
    </w:p>
    <w:tbl>
      <w:tblPr>
        <w:tblStyle w:val="7"/>
        <w:tblW w:w="7575" w:type="dxa"/>
        <w:jc w:val="center"/>
        <w:tblCellSpacing w:w="0" w:type="dxa"/>
        <w:tblInd w:w="135" w:type="dxa"/>
        <w:tblBorders>
          <w:top w:val="outset" w:color="009933" w:sz="8" w:space="0"/>
          <w:left w:val="outset" w:color="009933" w:sz="8" w:space="0"/>
          <w:bottom w:val="outset" w:color="009933" w:sz="8" w:space="0"/>
          <w:right w:val="outset" w:color="009933" w:sz="8" w:space="0"/>
          <w:insideH w:val="none" w:color="auto" w:sz="0" w:space="0"/>
          <w:insideV w:val="none" w:color="auto" w:sz="0" w:space="0"/>
        </w:tblBorders>
        <w:tblLayout w:type="fixed"/>
        <w:tblCellMar>
          <w:left w:w="0" w:type="dxa"/>
          <w:right w:w="0" w:type="dxa"/>
        </w:tblCellMar>
      </w:tblPr>
      <w:tblGrid>
        <w:gridCol w:w="2072"/>
        <w:gridCol w:w="2085"/>
        <w:gridCol w:w="2085"/>
        <w:gridCol w:w="1333"/>
      </w:tblGrid>
      <w:tr>
        <w:tblPrEx>
          <w:tblBorders>
            <w:top w:val="outset" w:color="009933" w:sz="8" w:space="0"/>
            <w:left w:val="outset" w:color="009933" w:sz="8" w:space="0"/>
            <w:bottom w:val="outset" w:color="009933" w:sz="8" w:space="0"/>
            <w:right w:val="outset" w:color="009933" w:sz="8" w:space="0"/>
            <w:insideH w:val="none" w:color="auto" w:sz="0" w:space="0"/>
            <w:insideV w:val="none" w:color="auto" w:sz="0" w:space="0"/>
          </w:tblBorders>
          <w:tblLayout w:type="fixed"/>
        </w:tblPrEx>
        <w:trPr>
          <w:tblCellSpacing w:w="0" w:type="dxa"/>
          <w:jc w:val="center"/>
        </w:trPr>
        <w:tc>
          <w:tcPr>
            <w:tcW w:w="2072"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气体类别</w:t>
            </w:r>
          </w:p>
        </w:tc>
        <w:tc>
          <w:tcPr>
            <w:tcW w:w="2085"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瓶身颜色</w:t>
            </w:r>
          </w:p>
        </w:tc>
        <w:tc>
          <w:tcPr>
            <w:tcW w:w="2085"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标字颜色</w:t>
            </w:r>
          </w:p>
        </w:tc>
        <w:tc>
          <w:tcPr>
            <w:tcW w:w="1333"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字样</w:t>
            </w:r>
          </w:p>
        </w:tc>
      </w:tr>
      <w:tr>
        <w:tblPrEx>
          <w:tblBorders>
            <w:top w:val="outset" w:color="009933" w:sz="8" w:space="0"/>
            <w:left w:val="outset" w:color="009933" w:sz="8" w:space="0"/>
            <w:bottom w:val="outset" w:color="009933" w:sz="8" w:space="0"/>
            <w:right w:val="outset" w:color="009933" w:sz="8" w:space="0"/>
            <w:insideH w:val="none" w:color="auto" w:sz="0" w:space="0"/>
            <w:insideV w:val="none" w:color="auto" w:sz="0" w:space="0"/>
          </w:tblBorders>
          <w:tblLayout w:type="fixed"/>
          <w:tblCellMar>
            <w:left w:w="0" w:type="dxa"/>
            <w:right w:w="0" w:type="dxa"/>
          </w:tblCellMar>
        </w:tblPrEx>
        <w:trPr>
          <w:tblCellSpacing w:w="0" w:type="dxa"/>
          <w:jc w:val="center"/>
        </w:trPr>
        <w:tc>
          <w:tcPr>
            <w:tcW w:w="2072"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氮气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氧气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氢气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压缩空气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二氧化碳</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氦</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液氨</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氯</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乙炔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氟氯烷</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石油气体</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粗氩气体</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纯氩气体</w:t>
            </w:r>
          </w:p>
        </w:tc>
        <w:tc>
          <w:tcPr>
            <w:tcW w:w="2085"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天蓝</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深蓝</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棕</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黄</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草绿</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铝白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灰</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灰</w:t>
            </w:r>
          </w:p>
        </w:tc>
        <w:tc>
          <w:tcPr>
            <w:tcW w:w="2085"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黄</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红</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黄</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红</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黑</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红</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白</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绿</w:t>
            </w:r>
          </w:p>
        </w:tc>
        <w:tc>
          <w:tcPr>
            <w:tcW w:w="1333" w:type="dxa"/>
            <w:tcBorders>
              <w:top w:val="outset" w:color="009933" w:sz="8" w:space="0"/>
              <w:left w:val="outset" w:color="009933" w:sz="8" w:space="0"/>
              <w:bottom w:val="outset" w:color="009933" w:sz="8" w:space="0"/>
              <w:right w:val="outset" w:color="009933" w:sz="8" w:space="0"/>
            </w:tcBorders>
            <w:vAlign w:val="top"/>
          </w:tcPr>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氮</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氧</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氢</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压缩空气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二氧化碳</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氦</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氨</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氯</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乙炔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氟氯烷</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石油气</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粗氩</w:t>
            </w:r>
          </w:p>
          <w:p>
            <w:pPr>
              <w:widowControl/>
              <w:spacing w:before="30" w:after="30" w:line="390" w:lineRule="atLeast"/>
              <w:ind w:right="25"/>
              <w:jc w:val="center"/>
              <w:rPr>
                <w:rFonts w:ascii="宋体" w:hAnsi="宋体" w:eastAsia="宋体" w:cs="宋体"/>
                <w:kern w:val="0"/>
                <w:sz w:val="20"/>
                <w:szCs w:val="20"/>
              </w:rPr>
            </w:pPr>
            <w:r>
              <w:rPr>
                <w:rFonts w:ascii="宋体" w:hAnsi="宋体" w:eastAsia="宋体" w:cs="宋体"/>
                <w:kern w:val="0"/>
                <w:sz w:val="24"/>
                <w:szCs w:val="24"/>
              </w:rPr>
              <w:t>纯氩</w:t>
            </w:r>
          </w:p>
        </w:tc>
      </w:tr>
    </w:tbl>
    <w:p>
      <w:pPr>
        <w:widowControl/>
        <w:spacing w:before="30" w:after="30" w:line="390" w:lineRule="atLeast"/>
        <w:ind w:left="555"/>
        <w:jc w:val="left"/>
        <w:rPr>
          <w:rFonts w:ascii="宋体" w:hAnsi="宋体" w:eastAsia="宋体" w:cs="宋体"/>
          <w:color w:val="000000"/>
          <w:kern w:val="0"/>
          <w:sz w:val="20"/>
          <w:szCs w:val="20"/>
        </w:rPr>
      </w:pP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eastAsia="宋体" w:cs="宋体"/>
          <w:b/>
          <w:bCs/>
          <w:color w:val="000000"/>
          <w:kern w:val="0"/>
          <w:sz w:val="24"/>
          <w:szCs w:val="24"/>
        </w:rPr>
        <w:t>2、</w:t>
      </w:r>
      <w:r>
        <w:rPr>
          <w:rFonts w:ascii="宋体" w:hAnsi="宋体" w:eastAsia="宋体" w:cs="宋体"/>
          <w:b/>
          <w:bCs/>
          <w:color w:val="000000"/>
          <w:kern w:val="0"/>
          <w:sz w:val="24"/>
          <w:szCs w:val="24"/>
        </w:rPr>
        <w:t>高压气体钢瓶的安全使用</w:t>
      </w:r>
    </w:p>
    <w:p>
      <w:pPr>
        <w:widowControl/>
        <w:spacing w:before="30" w:after="30" w:line="390" w:lineRule="atLeast"/>
        <w:ind w:right="25"/>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(1)钢瓶应放在阴凉，远离电源、热源(如阳光、暖气、炉火等)的地方，并加以固定。可燃性气体钢瓶必须与氧气钢瓶分开存放。</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(2)搬运钢瓶时要戴上瓶帽、橡皮腰圈。要轻拿轻放，不要在地上滚动，避免撞击和突然摔倒。</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(3)高压钢瓶必须要安装好减压阀后方可使用。一般，可燃性气体钢瓶上阀门的螺纹为反扣的(如氢、乙炔)，不燃性或助燃性气瓶(如N</w:t>
      </w:r>
      <w:r>
        <w:rPr>
          <w:rFonts w:ascii="宋体" w:hAnsi="宋体" w:eastAsia="宋体" w:cs="宋体"/>
          <w:color w:val="000000"/>
          <w:kern w:val="0"/>
          <w:sz w:val="24"/>
          <w:szCs w:val="24"/>
          <w:vertAlign w:val="subscript"/>
        </w:rPr>
        <w:t>2</w:t>
      </w:r>
      <w:r>
        <w:rPr>
          <w:rFonts w:ascii="宋体" w:hAnsi="宋体" w:eastAsia="宋体" w:cs="宋体"/>
          <w:color w:val="000000"/>
          <w:kern w:val="0"/>
          <w:sz w:val="24"/>
          <w:szCs w:val="24"/>
        </w:rPr>
        <w:t>、O</w:t>
      </w:r>
      <w:r>
        <w:rPr>
          <w:rFonts w:ascii="宋体" w:hAnsi="宋体" w:eastAsia="宋体" w:cs="宋体"/>
          <w:color w:val="000000"/>
          <w:kern w:val="0"/>
          <w:sz w:val="24"/>
          <w:szCs w:val="24"/>
          <w:vertAlign w:val="subscript"/>
        </w:rPr>
        <w:t>2</w:t>
      </w:r>
      <w:r>
        <w:rPr>
          <w:rFonts w:ascii="宋体" w:hAnsi="宋体" w:eastAsia="宋体" w:cs="宋体"/>
          <w:color w:val="000000"/>
          <w:kern w:val="0"/>
          <w:sz w:val="24"/>
          <w:szCs w:val="24"/>
        </w:rPr>
        <w:t>)为正丝。各种减压阀绝不能混用。</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(4)开、闭气阀时，操作人员应避开瓶口方向，站在侧面，防止万一阀门或压力表冲出伤人并缓慢操作。</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(5)氧气瓶的瓶嘴、减压阀都严禁沾污油脂。在开启氧气瓶时还应特别注意手上、工具上不能有油脂，扳手上的油应用酒精洗去，待干后再使用，以防燃烧和爆炸。</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(6)氧气瓶与氢气瓶严禁在同一实验室内使用。</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(7)钢瓶内气体不能完全用尽，应保持在0.05MPa表压以上的残留压力，以防重新灌气时发生危险。</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cs="宋体"/>
          <w:color w:val="000000"/>
          <w:kern w:val="0"/>
          <w:sz w:val="24"/>
          <w:szCs w:val="24"/>
          <w:lang w:val="en-US" w:eastAsia="zh-CN"/>
        </w:rPr>
        <w:t xml:space="preserve">    </w:t>
      </w:r>
      <w:r>
        <w:rPr>
          <w:rFonts w:ascii="宋体" w:hAnsi="宋体" w:eastAsia="宋体" w:cs="宋体"/>
          <w:color w:val="000000"/>
          <w:kern w:val="0"/>
          <w:sz w:val="24"/>
          <w:szCs w:val="24"/>
        </w:rPr>
        <w:t>(8)钢瓶须定期送交检验，合格钢瓶才能充气使用。</w:t>
      </w:r>
    </w:p>
    <w:p>
      <w:pPr>
        <w:widowControl/>
        <w:spacing w:before="30" w:after="30" w:line="390" w:lineRule="atLeast"/>
        <w:jc w:val="left"/>
        <w:rPr>
          <w:rFonts w:ascii="宋体" w:hAnsi="宋体" w:eastAsia="宋体" w:cs="宋体"/>
          <w:color w:val="000000"/>
          <w:kern w:val="0"/>
          <w:sz w:val="20"/>
          <w:szCs w:val="20"/>
        </w:rPr>
      </w:pPr>
      <w:r>
        <w:rPr>
          <w:rFonts w:hint="eastAsia" w:ascii="宋体" w:hAnsi="宋体" w:eastAsia="宋体" w:cs="宋体"/>
          <w:b/>
          <w:bCs/>
          <w:color w:val="000000"/>
          <w:kern w:val="0"/>
          <w:sz w:val="24"/>
          <w:szCs w:val="24"/>
        </w:rPr>
        <w:t>3、</w:t>
      </w:r>
      <w:r>
        <w:rPr>
          <w:rFonts w:ascii="宋体" w:hAnsi="宋体" w:eastAsia="宋体" w:cs="宋体"/>
          <w:b/>
          <w:bCs/>
          <w:color w:val="000000"/>
          <w:kern w:val="0"/>
          <w:sz w:val="24"/>
          <w:szCs w:val="24"/>
        </w:rPr>
        <w:t>气体减压阀的构造及正确使用</w:t>
      </w:r>
    </w:p>
    <w:p>
      <w:pPr>
        <w:widowControl/>
        <w:spacing w:before="30" w:after="30" w:line="390" w:lineRule="atLeast"/>
        <w:jc w:val="left"/>
        <w:rPr>
          <w:rFonts w:ascii="宋体" w:hAnsi="宋体" w:eastAsia="宋体" w:cs="宋体"/>
          <w:color w:val="000000"/>
          <w:kern w:val="0"/>
          <w:sz w:val="24"/>
          <w:szCs w:val="24"/>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1）</w:t>
      </w:r>
      <w:r>
        <w:rPr>
          <w:rFonts w:ascii="宋体" w:hAnsi="宋体" w:eastAsia="宋体" w:cs="宋体"/>
          <w:color w:val="000000"/>
          <w:kern w:val="0"/>
          <w:sz w:val="24"/>
          <w:szCs w:val="24"/>
        </w:rPr>
        <w:t>气体减压阀的结构特点如下</w:t>
      </w:r>
      <w:r>
        <w:rPr>
          <w:rFonts w:hint="eastAsia" w:ascii="宋体" w:hAnsi="宋体" w:eastAsia="宋体" w:cs="宋体"/>
          <w:color w:val="000000"/>
          <w:kern w:val="0"/>
          <w:sz w:val="24"/>
          <w:szCs w:val="24"/>
        </w:rPr>
        <w:t>：</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气体减压阀属于先导活塞式减压阀。由主阀和导阀两部分组成。</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气体减压阀的主阀主要由阀座、主阀盘、活塞、弹簧等零件组成。</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导阀主要由阀座、阀瓣、膜片、弹簧、调节弹簧等零件组成。</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通过调节弹簧压力设定出口压力、利用膜片传感出口压力变化，通过导阀启闭驱动活塞调节主阀节流部位过流面积的大小，实现减压稳压功能。</w:t>
      </w:r>
    </w:p>
    <w:p>
      <w:pPr>
        <w:widowControl/>
        <w:spacing w:before="30" w:after="30" w:line="390" w:lineRule="atLeast"/>
        <w:jc w:val="left"/>
        <w:rPr>
          <w:rFonts w:ascii="宋体" w:hAnsi="宋体" w:eastAsia="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ascii="宋体" w:hAnsi="宋体" w:eastAsia="宋体" w:cs="宋体"/>
          <w:color w:val="000000"/>
          <w:kern w:val="0"/>
          <w:sz w:val="24"/>
          <w:szCs w:val="24"/>
        </w:rPr>
        <w:t>气体减压阀的工作原理</w:t>
      </w:r>
      <w:r>
        <w:rPr>
          <w:rFonts w:hint="eastAsia" w:ascii="宋体" w:hAnsi="宋体" w:eastAsia="宋体" w:cs="宋体"/>
          <w:color w:val="000000"/>
          <w:kern w:val="0"/>
          <w:sz w:val="24"/>
          <w:szCs w:val="24"/>
        </w:rPr>
        <w:t>：</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高压腔与钢瓶连接，低压腔为气体出口，并通往使用系统。高压表的示值为钢瓶内贮存气体的压力。低压表的出口压力可由调节螺杆控制。</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使用时先打开钢瓶总开关，然后顺时针转动低压表压力调节螺杆，使其压缩主弹簧并传动薄膜、弹簧垫块和顶杆而将活门打开。这样进口的高压气体由高压室经节流减压后进入低压室，并经出口通往工作系统。转动调节螺杆，改变活门开启的高度，从而调节高压气体的通过量并达到所需的压力值。</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减压阀都装有安全阀。它是保护减压阀并使之安全使用的装置，也是减压阀出现故障的信号装置。如果由于活门垫、活门损坏或由于其它原因，导致出口压力自行上升并超过一定许可值时，安全阀会自动打开排气。</w:t>
      </w:r>
    </w:p>
    <w:p>
      <w:pPr>
        <w:widowControl/>
        <w:spacing w:before="30" w:after="30" w:line="390" w:lineRule="atLeast"/>
        <w:ind w:firstLine="420"/>
        <w:jc w:val="left"/>
        <w:rPr>
          <w:rFonts w:hint="eastAsia" w:ascii="宋体" w:hAnsi="宋体" w:eastAsia="宋体" w:cs="宋体"/>
          <w:color w:val="000000"/>
          <w:kern w:val="0"/>
          <w:sz w:val="24"/>
          <w:szCs w:val="24"/>
        </w:rPr>
      </w:pPr>
    </w:p>
    <w:p>
      <w:pPr>
        <w:widowControl/>
        <w:spacing w:before="30" w:after="30" w:line="390" w:lineRule="atLeast"/>
        <w:jc w:val="left"/>
        <w:rPr>
          <w:rFonts w:ascii="宋体" w:hAnsi="宋体" w:eastAsia="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3）</w:t>
      </w:r>
      <w:r>
        <w:rPr>
          <w:rFonts w:ascii="宋体" w:hAnsi="宋体" w:eastAsia="宋体" w:cs="宋体"/>
          <w:color w:val="000000"/>
          <w:kern w:val="0"/>
          <w:sz w:val="24"/>
          <w:szCs w:val="24"/>
        </w:rPr>
        <w:t>气体减压阀的使用方法</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按使用要求的不同，减压阀有许多规格。最高进口压力大多为，最低进口压力不小于出口压力的2.5倍。</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安装减压阀时应确定其连接规格是否与钢瓶和使用系统的接头相一致。减压阀与钢瓶采用半球面连接，靠旋紧螺母使二者完全吻合。因此，在使用时应保持两个半球面的光洁，以确保良好的气密效果。安装前可用高压气体吹除灰尘。必要时也可用聚四氟乙烯等材料作垫圈。</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气体减压阀应严禁接触油脂，以免发生火警事故。</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cs="宋体"/>
          <w:color w:val="000000"/>
          <w:kern w:val="0"/>
          <w:sz w:val="24"/>
          <w:szCs w:val="24"/>
          <w:lang w:eastAsia="zh-CN"/>
        </w:rPr>
        <w:t>、</w:t>
      </w:r>
      <w:r>
        <w:rPr>
          <w:rFonts w:ascii="宋体" w:hAnsi="宋体" w:eastAsia="宋体" w:cs="宋体"/>
          <w:color w:val="000000"/>
          <w:kern w:val="0"/>
          <w:sz w:val="24"/>
          <w:szCs w:val="24"/>
        </w:rPr>
        <w:t>停止工作时，应将减压阀中余气放净，然后拧松调节螺杆以免弹性元件长久受压变形。</w:t>
      </w:r>
    </w:p>
    <w:p>
      <w:pPr>
        <w:widowControl/>
        <w:spacing w:before="30" w:after="30" w:line="390" w:lineRule="atLeast"/>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5</w:t>
      </w:r>
      <w:r>
        <w:rPr>
          <w:rFonts w:hint="eastAsia" w:ascii="宋体" w:hAnsi="宋体" w:cs="宋体"/>
          <w:color w:val="000000"/>
          <w:kern w:val="0"/>
          <w:sz w:val="24"/>
          <w:szCs w:val="24"/>
          <w:lang w:eastAsia="zh-CN"/>
        </w:rPr>
        <w:t>、</w:t>
      </w:r>
      <w:r>
        <w:fldChar w:fldCharType="begin"/>
      </w:r>
      <w:r>
        <w:instrText xml:space="preserve">HYPERLINK "http://www.pulsst88.com/" \t "_blank" </w:instrText>
      </w:r>
      <w:r>
        <w:fldChar w:fldCharType="separate"/>
      </w:r>
      <w:r>
        <w:rPr>
          <w:rFonts w:ascii="宋体" w:hAnsi="宋体" w:eastAsia="宋体" w:cs="宋体"/>
          <w:color w:val="000000"/>
          <w:kern w:val="0"/>
          <w:sz w:val="24"/>
          <w:szCs w:val="24"/>
        </w:rPr>
        <w:t>气体减压阀</w:t>
      </w:r>
      <w:r>
        <w:fldChar w:fldCharType="end"/>
      </w:r>
      <w:r>
        <w:rPr>
          <w:rFonts w:ascii="宋体" w:hAnsi="宋体" w:eastAsia="宋体" w:cs="宋体"/>
          <w:color w:val="000000"/>
          <w:kern w:val="0"/>
          <w:sz w:val="24"/>
          <w:szCs w:val="24"/>
        </w:rPr>
        <w:t>应避免撞击振动，不可与腐蚀性物质相接触。</w:t>
      </w:r>
    </w:p>
    <w:p>
      <w:pPr>
        <w:widowControl/>
        <w:spacing w:before="30" w:after="30" w:line="390" w:lineRule="atLeast"/>
        <w:ind w:firstLine="420"/>
        <w:jc w:val="left"/>
        <w:rPr>
          <w:rFonts w:hint="eastAsia" w:ascii="宋体" w:hAnsi="宋体" w:eastAsia="宋体" w:cs="宋体"/>
          <w:color w:val="000000"/>
          <w:kern w:val="0"/>
          <w:sz w:val="24"/>
          <w:szCs w:val="24"/>
        </w:rPr>
      </w:pPr>
    </w:p>
    <w:p>
      <w:pPr>
        <w:widowControl/>
        <w:spacing w:before="30" w:after="30" w:line="390" w:lineRule="atLeast"/>
        <w:ind w:firstLine="42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92FC9"/>
    <w:rsid w:val="001A2106"/>
    <w:rsid w:val="001D09D0"/>
    <w:rsid w:val="001D571C"/>
    <w:rsid w:val="0022055A"/>
    <w:rsid w:val="00357D8B"/>
    <w:rsid w:val="003D2AF9"/>
    <w:rsid w:val="0041721B"/>
    <w:rsid w:val="00482812"/>
    <w:rsid w:val="00541C60"/>
    <w:rsid w:val="0056231F"/>
    <w:rsid w:val="00672165"/>
    <w:rsid w:val="00745719"/>
    <w:rsid w:val="00791434"/>
    <w:rsid w:val="00A65ABE"/>
    <w:rsid w:val="00A67CC3"/>
    <w:rsid w:val="00A905D3"/>
    <w:rsid w:val="00C75E8D"/>
    <w:rsid w:val="00C92FC9"/>
    <w:rsid w:val="00E617D6"/>
    <w:rsid w:val="00E64270"/>
    <w:rsid w:val="00E77298"/>
    <w:rsid w:val="00EF5495"/>
    <w:rsid w:val="3C263F3D"/>
    <w:rsid w:val="50C51F13"/>
    <w:rsid w:val="6B275B8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Plain Text"/>
    <w:basedOn w:val="1"/>
    <w:link w:val="8"/>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纯文本 Char"/>
    <w:basedOn w:val="4"/>
    <w:link w:val="2"/>
    <w:uiPriority w:val="99"/>
    <w:rPr>
      <w:rFonts w:ascii="宋体" w:hAnsi="宋体" w:eastAsia="宋体" w:cs="宋体"/>
      <w:kern w:val="0"/>
      <w:sz w:val="24"/>
      <w:szCs w:val="24"/>
    </w:rPr>
  </w:style>
  <w:style w:type="character" w:customStyle="1" w:styleId="9">
    <w:name w:val="apple-converted-space"/>
    <w:basedOn w:val="4"/>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255</Words>
  <Characters>1457</Characters>
  <Lines>12</Lines>
  <Paragraphs>3</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2014-12-08T02:48:00Z</dcterms:created>
  <dc:creator>hp</dc:creator>
  <cp:lastModifiedBy>hp</cp:lastModifiedBy>
  <dcterms:modified xsi:type="dcterms:W3CDTF">2014-12-08T03:09:32Z</dcterms:modified>
  <dc:title>附录3 高压钢瓶的安全使用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